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Pr="004D1AC9" w:rsidRDefault="00242B98" w:rsidP="004D1AC9">
      <w:pPr>
        <w:contextualSpacing/>
        <w:jc w:val="both"/>
        <w:rPr>
          <w:b/>
          <w:sz w:val="28"/>
          <w:szCs w:val="28"/>
        </w:rPr>
      </w:pPr>
    </w:p>
    <w:p w:rsidR="004D1AC9" w:rsidRPr="004D1AC9" w:rsidRDefault="004D1AC9" w:rsidP="004D1AC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Pr="004D1AC9">
        <w:rPr>
          <w:b/>
          <w:bCs/>
          <w:color w:val="333333"/>
          <w:sz w:val="28"/>
          <w:szCs w:val="28"/>
        </w:rPr>
        <w:t xml:space="preserve">собенности регулирования трудовых отношений работников в сфере образования, воспитания детей </w:t>
      </w:r>
    </w:p>
    <w:p w:rsidR="004D1AC9" w:rsidRPr="004D1AC9" w:rsidRDefault="004D1AC9" w:rsidP="004D1AC9">
      <w:pPr>
        <w:shd w:val="clear" w:color="auto" w:fill="FFFFFF"/>
        <w:contextualSpacing/>
        <w:rPr>
          <w:color w:val="000000"/>
          <w:sz w:val="28"/>
          <w:szCs w:val="28"/>
        </w:rPr>
      </w:pPr>
      <w:r w:rsidRPr="004D1AC9">
        <w:rPr>
          <w:color w:val="000000"/>
          <w:sz w:val="28"/>
          <w:szCs w:val="28"/>
        </w:rPr>
        <w:t> </w:t>
      </w:r>
      <w:r w:rsidRPr="004D1AC9">
        <w:rPr>
          <w:color w:val="FFFFFF"/>
          <w:sz w:val="28"/>
          <w:szCs w:val="28"/>
        </w:rPr>
        <w:t>Текст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Согласно ст. 351.1 Трудового кодекса Российской Федерации (далее – ТК РФ)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абзацах 3 и 4 части 2 статьи 331 ТК РФ, за исключением случаев, предусмотренных частью 3 ст. 351.1 ТК РФ.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Так, в соответствии с абзацем 3 ч. 2 ст. 331 Кодекса к трудовой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 xml:space="preserve">Лица из числа указанных в абзаце 3 части 2 статьи 331 ТК РФ, имевшие судимость за совершение преступлений небольшой и средней тяжести,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4D1AC9">
        <w:rPr>
          <w:color w:val="333333"/>
          <w:sz w:val="28"/>
          <w:szCs w:val="28"/>
        </w:rPr>
        <w:t>нереабилитирующим</w:t>
      </w:r>
      <w:proofErr w:type="spellEnd"/>
      <w:r w:rsidRPr="004D1AC9">
        <w:rPr>
          <w:color w:val="333333"/>
          <w:sz w:val="28"/>
          <w:szCs w:val="28"/>
        </w:rPr>
        <w:t xml:space="preserve"> основаниям (кроме преступлений против половой неприкосновенности и половой свободы личности), могут быть допущены к трудовой деятельности в сферах с участием несовершеннолетних при наличии решения Межведомственной комиссии по делам несовершеннолетних и защите их прав при Правительстве Челябинской области, куда заинтересованные лица вправе обратиться с соответствующим заявлением.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При рассмотрении вопроса о даче согласия (отказа) на допуск лица к осуществлению трудовой деятельности с участием несовершеннолетних Межведомственной комиссией учитываются вид и степень тяжести совершенных преступлений, их обстоятельства, вид назначенного судом наказания, возмещенный вред, а также сроки, истекшие со дня совершения деяния.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Абзацем 4 ч. 2 ст. 331 ТК РФ предусмотрен запрет на допуск к трудовой деятельности в указанных сферах лиц, имеющих неснятую или непогашенную судимость за иные умышленные тяжкие и особо тяжкие преступления, не указанные в абзаце 3 данной статьи.</w:t>
      </w:r>
    </w:p>
    <w:p w:rsid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lastRenderedPageBreak/>
        <w:t>При получении от правоохранительных органов сведений о том, что работник, осуществляющий трудовую деятельность в сферах с участием несовершеннолетних, подвергается уголовному преследованию за преступления, указанные в абзацах 3 и 4 части 2 статьи 331 ТК РФ, работодатель обязан отстранить его от работы (не допускать к работе) на весь период производства по уголовному делу до его прекращения либо до вступления в силу приговора суда.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54E1A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328C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2021-03-12T09:25:00Z</cp:lastPrinted>
  <dcterms:created xsi:type="dcterms:W3CDTF">2021-03-12T09:25:00Z</dcterms:created>
  <dcterms:modified xsi:type="dcterms:W3CDTF">2021-03-23T09:22:00Z</dcterms:modified>
</cp:coreProperties>
</file>